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193" w:rsidRDefault="00523193" w:rsidP="00DB0BC9">
      <w:pPr>
        <w:autoSpaceDE w:val="0"/>
        <w:autoSpaceDN w:val="0"/>
        <w:adjustRightInd w:val="0"/>
        <w:spacing w:line="360" w:lineRule="auto"/>
        <w:jc w:val="both"/>
        <w:rPr>
          <w:rFonts w:ascii="Arial" w:hAnsi="Arial" w:cs="Arial"/>
          <w:b/>
          <w:bCs/>
          <w:sz w:val="22"/>
          <w:szCs w:val="22"/>
        </w:rPr>
      </w:pPr>
    </w:p>
    <w:p w:rsidR="0080451C" w:rsidRPr="0080451C" w:rsidRDefault="0080451C" w:rsidP="0080451C">
      <w:pPr>
        <w:spacing w:line="360" w:lineRule="auto"/>
        <w:jc w:val="both"/>
        <w:rPr>
          <w:rFonts w:ascii="Arial" w:hAnsi="Arial" w:cs="Arial"/>
          <w:b/>
          <w:bCs/>
          <w:sz w:val="22"/>
          <w:szCs w:val="22"/>
        </w:rPr>
      </w:pPr>
      <w:r>
        <w:rPr>
          <w:rFonts w:ascii="Arial" w:hAnsi="Arial"/>
          <w:b/>
          <w:sz w:val="22"/>
        </w:rPr>
        <w:t>KONTSULTA PUBLIKOA,  ALTZAIRUA ARKU ELEKTRIKOKO LABEAN FABRIKATZEAK SORRARAZTEN DUEN ZEPAREN BALORIZAZIOA ETA GERORA AGREGAKIN SIDERURGIKO GISA ERABILTZEA EDOTA ZEPA ZURIAK FABRIKAZIO-PROZESUETAN LEHENGAI GISA ERABILTZEA ERREGULATZEN DUEN DEKRETUA EGIN AURREKOA.</w:t>
      </w:r>
    </w:p>
    <w:p w:rsidR="00DB0BC9" w:rsidRDefault="00DB0BC9" w:rsidP="00F76AE9">
      <w:pPr>
        <w:autoSpaceDE w:val="0"/>
        <w:autoSpaceDN w:val="0"/>
        <w:adjustRightInd w:val="0"/>
        <w:spacing w:line="276" w:lineRule="auto"/>
        <w:jc w:val="both"/>
        <w:rPr>
          <w:rFonts w:ascii="Arial" w:hAnsi="Arial" w:cs="Arial"/>
          <w:sz w:val="22"/>
          <w:szCs w:val="22"/>
        </w:rPr>
      </w:pPr>
    </w:p>
    <w:p w:rsidR="0080451C" w:rsidRPr="0080451C" w:rsidRDefault="00DB0BC9" w:rsidP="0080451C">
      <w:pPr>
        <w:spacing w:line="360" w:lineRule="auto"/>
        <w:jc w:val="both"/>
        <w:rPr>
          <w:rFonts w:ascii="Arial" w:hAnsi="Arial" w:cs="Arial"/>
          <w:bCs/>
          <w:sz w:val="22"/>
          <w:szCs w:val="22"/>
        </w:rPr>
      </w:pPr>
      <w:r>
        <w:rPr>
          <w:rFonts w:ascii="Arial" w:hAnsi="Arial"/>
          <w:sz w:val="22"/>
        </w:rPr>
        <w:t>Eusko Jaurlaritzaren Ingurumen, Lurralde Plangintza eta Etxebizitza Sailak altzairua arku elektrikoko labean fabrikatzeak sorrarazten duen zeparen balorizazioa eta gerora agregakin siderurgiko gisa erabiltzea edota zepa zuriak fabrikazio-prozesuetan lehengai gisa erabiltzea erregulatzen duen dekretuaren proiektua egiteko asmoa dauka.</w:t>
      </w:r>
    </w:p>
    <w:p w:rsidR="000E67FE" w:rsidRPr="000E67FE" w:rsidRDefault="000E67FE" w:rsidP="000E67FE">
      <w:pPr>
        <w:autoSpaceDE w:val="0"/>
        <w:autoSpaceDN w:val="0"/>
        <w:adjustRightInd w:val="0"/>
        <w:spacing w:line="360" w:lineRule="auto"/>
        <w:jc w:val="both"/>
        <w:rPr>
          <w:rFonts w:ascii="Arial" w:hAnsi="Arial" w:cs="Arial"/>
          <w:bCs/>
          <w:sz w:val="22"/>
          <w:szCs w:val="22"/>
        </w:rPr>
      </w:pPr>
    </w:p>
    <w:p w:rsidR="00DB0BC9" w:rsidRDefault="00DB0BC9" w:rsidP="00F76AE9">
      <w:pPr>
        <w:autoSpaceDE w:val="0"/>
        <w:autoSpaceDN w:val="0"/>
        <w:adjustRightInd w:val="0"/>
        <w:spacing w:line="276" w:lineRule="auto"/>
        <w:jc w:val="both"/>
        <w:rPr>
          <w:rFonts w:ascii="Arial" w:hAnsi="Arial" w:cs="Arial"/>
          <w:sz w:val="22"/>
          <w:szCs w:val="22"/>
        </w:rPr>
      </w:pPr>
    </w:p>
    <w:p w:rsidR="00DB0BC9" w:rsidRDefault="00DB0BC9" w:rsidP="000E67FE">
      <w:pPr>
        <w:autoSpaceDE w:val="0"/>
        <w:autoSpaceDN w:val="0"/>
        <w:adjustRightInd w:val="0"/>
        <w:spacing w:line="360" w:lineRule="auto"/>
        <w:jc w:val="both"/>
        <w:rPr>
          <w:rFonts w:ascii="Arial" w:hAnsi="Arial" w:cs="Arial"/>
          <w:sz w:val="22"/>
          <w:szCs w:val="22"/>
        </w:rPr>
      </w:pPr>
      <w:r>
        <w:rPr>
          <w:rFonts w:ascii="Arial" w:hAnsi="Arial"/>
          <w:sz w:val="22"/>
        </w:rPr>
        <w:t>Administrazio Publikoen Administrazio Prozedura Erkidearen urriaren 1eko 39/2015 Legearen 133. artikuluko 1. zenbakiak ezartzen duenez, kontsulta publikoa egingo da lege edo erregelamendu baten proiektua edo aurreproiektua egin aurretik, eskudun administrazioaren web-atariaren bitartez. Kontsulta horretan, etorkizuneko arauak gehien uki ditzakeen subjektuen eta erakundeen iritzia bilduko da, gai hauei buruz:</w:t>
      </w:r>
    </w:p>
    <w:p w:rsidR="00DB0BC9" w:rsidRDefault="00DB0BC9" w:rsidP="00F76AE9">
      <w:pPr>
        <w:autoSpaceDE w:val="0"/>
        <w:autoSpaceDN w:val="0"/>
        <w:adjustRightInd w:val="0"/>
        <w:spacing w:line="276" w:lineRule="auto"/>
        <w:jc w:val="both"/>
        <w:rPr>
          <w:rFonts w:ascii="Arial" w:hAnsi="Arial" w:cs="Arial"/>
          <w:sz w:val="22"/>
          <w:szCs w:val="22"/>
        </w:rPr>
      </w:pPr>
    </w:p>
    <w:p w:rsidR="00DB0BC9" w:rsidRDefault="00DB0BC9" w:rsidP="000E67FE">
      <w:pPr>
        <w:autoSpaceDE w:val="0"/>
        <w:autoSpaceDN w:val="0"/>
        <w:adjustRightInd w:val="0"/>
        <w:spacing w:line="360" w:lineRule="auto"/>
        <w:ind w:left="709"/>
        <w:jc w:val="both"/>
        <w:rPr>
          <w:rFonts w:ascii="Arial" w:hAnsi="Arial" w:cs="Arial"/>
          <w:sz w:val="22"/>
          <w:szCs w:val="22"/>
        </w:rPr>
      </w:pPr>
      <w:r>
        <w:rPr>
          <w:rFonts w:ascii="Arial" w:hAnsi="Arial"/>
          <w:sz w:val="22"/>
        </w:rPr>
        <w:t>a) Ekimenarekin konpondu nahi diren arazoak.</w:t>
      </w:r>
    </w:p>
    <w:p w:rsidR="00DB0BC9" w:rsidRDefault="00DB0BC9" w:rsidP="000E67FE">
      <w:pPr>
        <w:autoSpaceDE w:val="0"/>
        <w:autoSpaceDN w:val="0"/>
        <w:adjustRightInd w:val="0"/>
        <w:spacing w:line="360" w:lineRule="auto"/>
        <w:ind w:left="709"/>
        <w:jc w:val="both"/>
        <w:rPr>
          <w:rFonts w:ascii="Arial" w:hAnsi="Arial" w:cs="Arial"/>
          <w:sz w:val="22"/>
          <w:szCs w:val="22"/>
        </w:rPr>
      </w:pPr>
      <w:r>
        <w:rPr>
          <w:rFonts w:ascii="Arial" w:hAnsi="Arial"/>
          <w:sz w:val="22"/>
        </w:rPr>
        <w:t>b) Ekimena onartzeko premia eta aukera.</w:t>
      </w:r>
    </w:p>
    <w:p w:rsidR="00DB0BC9" w:rsidRDefault="00DB0BC9" w:rsidP="000E67FE">
      <w:pPr>
        <w:autoSpaceDE w:val="0"/>
        <w:autoSpaceDN w:val="0"/>
        <w:adjustRightInd w:val="0"/>
        <w:spacing w:line="360" w:lineRule="auto"/>
        <w:ind w:left="709"/>
        <w:jc w:val="both"/>
        <w:rPr>
          <w:rFonts w:ascii="Arial" w:hAnsi="Arial" w:cs="Arial"/>
          <w:sz w:val="22"/>
          <w:szCs w:val="22"/>
        </w:rPr>
      </w:pPr>
      <w:r>
        <w:rPr>
          <w:rFonts w:ascii="Arial" w:hAnsi="Arial"/>
          <w:sz w:val="22"/>
        </w:rPr>
        <w:t>c) Arauaren xedeak.</w:t>
      </w:r>
    </w:p>
    <w:p w:rsidR="00DB0BC9" w:rsidRDefault="00DB0BC9" w:rsidP="000E67FE">
      <w:pPr>
        <w:autoSpaceDE w:val="0"/>
        <w:autoSpaceDN w:val="0"/>
        <w:adjustRightInd w:val="0"/>
        <w:spacing w:line="360" w:lineRule="auto"/>
        <w:ind w:left="709"/>
        <w:jc w:val="both"/>
        <w:rPr>
          <w:rFonts w:ascii="Arial" w:hAnsi="Arial" w:cs="Arial"/>
          <w:sz w:val="22"/>
          <w:szCs w:val="22"/>
        </w:rPr>
      </w:pPr>
      <w:r>
        <w:rPr>
          <w:rFonts w:ascii="Arial" w:hAnsi="Arial"/>
          <w:sz w:val="22"/>
        </w:rPr>
        <w:t>d) Egon daitezkeen ordezko irtenbide erregulatzaileak eta ez-erregulatzaileak.</w:t>
      </w:r>
    </w:p>
    <w:p w:rsidR="00DB0BC9" w:rsidRDefault="00DB0BC9" w:rsidP="00F76AE9">
      <w:pPr>
        <w:autoSpaceDE w:val="0"/>
        <w:autoSpaceDN w:val="0"/>
        <w:adjustRightInd w:val="0"/>
        <w:spacing w:line="276" w:lineRule="auto"/>
        <w:jc w:val="both"/>
        <w:rPr>
          <w:rFonts w:ascii="Arial" w:hAnsi="Arial" w:cs="Arial"/>
          <w:sz w:val="22"/>
          <w:szCs w:val="22"/>
        </w:rPr>
      </w:pPr>
    </w:p>
    <w:p w:rsidR="002F2942" w:rsidRDefault="00DB0BC9" w:rsidP="00423399">
      <w:pPr>
        <w:autoSpaceDE w:val="0"/>
        <w:autoSpaceDN w:val="0"/>
        <w:adjustRightInd w:val="0"/>
        <w:spacing w:line="360" w:lineRule="auto"/>
        <w:jc w:val="both"/>
        <w:rPr>
          <w:rFonts w:ascii="Arial" w:hAnsi="Arial" w:cs="Arial"/>
          <w:sz w:val="22"/>
          <w:szCs w:val="22"/>
        </w:rPr>
      </w:pPr>
      <w:r>
        <w:rPr>
          <w:rFonts w:ascii="Arial" w:hAnsi="Arial"/>
          <w:sz w:val="22"/>
        </w:rPr>
        <w:t>Aurrekoa betez, eta proiektua egin aurretik, kontu hauek planteatzen dira:</w:t>
      </w:r>
    </w:p>
    <w:p w:rsidR="00DB0BC9" w:rsidRDefault="00DB0BC9" w:rsidP="00DB0BC9">
      <w:pPr>
        <w:autoSpaceDE w:val="0"/>
        <w:autoSpaceDN w:val="0"/>
        <w:adjustRightInd w:val="0"/>
        <w:spacing w:line="360"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2660"/>
        <w:gridCol w:w="5985"/>
      </w:tblGrid>
      <w:tr w:rsidR="00DB0BC9" w:rsidTr="003A404C">
        <w:tc>
          <w:tcPr>
            <w:tcW w:w="2660" w:type="dxa"/>
          </w:tcPr>
          <w:p w:rsidR="003A404C" w:rsidRDefault="003A404C" w:rsidP="00DB0BC9">
            <w:pPr>
              <w:autoSpaceDE w:val="0"/>
              <w:autoSpaceDN w:val="0"/>
              <w:adjustRightInd w:val="0"/>
              <w:jc w:val="both"/>
              <w:rPr>
                <w:rFonts w:ascii="Arial" w:hAnsi="Arial" w:cs="Arial"/>
                <w:b/>
                <w:bCs/>
                <w:color w:val="00003A"/>
                <w:sz w:val="22"/>
                <w:szCs w:val="22"/>
              </w:rPr>
            </w:pPr>
          </w:p>
          <w:p w:rsidR="00DB0BC9" w:rsidRPr="00DB0BC9" w:rsidRDefault="00DB0BC9" w:rsidP="00DB0BC9">
            <w:pPr>
              <w:autoSpaceDE w:val="0"/>
              <w:autoSpaceDN w:val="0"/>
              <w:adjustRightInd w:val="0"/>
              <w:jc w:val="both"/>
              <w:rPr>
                <w:rFonts w:ascii="Arial" w:hAnsi="Arial" w:cs="Arial"/>
                <w:b/>
                <w:sz w:val="22"/>
                <w:szCs w:val="22"/>
              </w:rPr>
            </w:pPr>
            <w:r>
              <w:rPr>
                <w:rFonts w:ascii="Arial" w:hAnsi="Arial"/>
                <w:b/>
                <w:color w:val="00003A"/>
                <w:sz w:val="22"/>
              </w:rPr>
              <w:t>EKIMENAREKIN KONPONDU NAHI DIREN ARAZOAK</w:t>
            </w:r>
          </w:p>
        </w:tc>
        <w:tc>
          <w:tcPr>
            <w:tcW w:w="5985" w:type="dxa"/>
          </w:tcPr>
          <w:p w:rsidR="00F76AE9" w:rsidRPr="00423399" w:rsidRDefault="007E001F" w:rsidP="001033E2">
            <w:pPr>
              <w:ind w:left="-43"/>
              <w:jc w:val="both"/>
              <w:rPr>
                <w:rFonts w:ascii="Arial" w:hAnsi="Arial" w:cs="Arial"/>
                <w:sz w:val="22"/>
                <w:szCs w:val="22"/>
              </w:rPr>
            </w:pPr>
            <w:r>
              <w:rPr>
                <w:rFonts w:ascii="Arial" w:hAnsi="Arial"/>
                <w:sz w:val="22"/>
              </w:rPr>
              <w:t xml:space="preserve">Historian, altzairu-fabriketako zepek hondakin asko sortu dituzte Euskal Autonomia Erkidegoan, altzairu-fabrika asko baitago, Estatuarekin nahiz Europarekin alderatuz gero. Hala, 2016an EAEn sortu diren hondakinen artean, bigarren tokian daude altzairu-fabriketako zepak; inbentariatuta dauden hondakinen % 16 sorrarazten dute. Guztira, 517.099 tona zepa sortu ziren 2016an. 2003an, altzairua arku elektrikoko labean fabrikatzeak sorrarazten duen zeparen balorizazioa eta gerora agregakin siderurgiko gisa erabiltzea Euskal Autonomia Erkidegoan erregulatzen zuen Dekretua onartu zen; hala ere, hondakin horiek zabortegian biltzea da ohiko kudeaketa modua, eta </w:t>
            </w:r>
            <w:r>
              <w:rPr>
                <w:rFonts w:ascii="Arial" w:hAnsi="Arial"/>
                <w:sz w:val="22"/>
              </w:rPr>
              <w:lastRenderedPageBreak/>
              <w:t xml:space="preserve">ingurumen-inpaktuak dakartza horrek. Zepa horiek lehengai jakin batzuen antzeko ezaugarriak dauzkate batzuetan, eta, beraz, horien balorizazioa sustatu behar da. </w:t>
            </w:r>
          </w:p>
        </w:tc>
      </w:tr>
      <w:tr w:rsidR="00DB0BC9" w:rsidTr="003A404C">
        <w:tc>
          <w:tcPr>
            <w:tcW w:w="2660" w:type="dxa"/>
          </w:tcPr>
          <w:p w:rsidR="00DB0BC9" w:rsidRPr="00DB0BC9" w:rsidRDefault="00714F20" w:rsidP="00DB0BC9">
            <w:pPr>
              <w:autoSpaceDE w:val="0"/>
              <w:autoSpaceDN w:val="0"/>
              <w:adjustRightInd w:val="0"/>
              <w:rPr>
                <w:rFonts w:ascii="Arial" w:hAnsi="Arial" w:cs="Arial"/>
                <w:b/>
                <w:bCs/>
                <w:color w:val="00003A"/>
                <w:sz w:val="22"/>
                <w:szCs w:val="22"/>
              </w:rPr>
            </w:pPr>
            <w:r>
              <w:rPr>
                <w:rFonts w:ascii="Arial" w:hAnsi="Arial"/>
                <w:b/>
                <w:color w:val="00003A"/>
                <w:sz w:val="22"/>
              </w:rPr>
              <w:lastRenderedPageBreak/>
              <w:t>EKIMENA ONARTZEKO PREMIA ETA AUKERA</w:t>
            </w:r>
          </w:p>
        </w:tc>
        <w:tc>
          <w:tcPr>
            <w:tcW w:w="5985" w:type="dxa"/>
          </w:tcPr>
          <w:p w:rsidR="00DB0BC9" w:rsidRPr="00884525" w:rsidRDefault="007E001F" w:rsidP="001033E2">
            <w:pPr>
              <w:autoSpaceDE w:val="0"/>
              <w:autoSpaceDN w:val="0"/>
              <w:adjustRightInd w:val="0"/>
              <w:jc w:val="both"/>
              <w:rPr>
                <w:rFonts w:ascii="Arial" w:hAnsi="Arial" w:cs="Arial"/>
                <w:sz w:val="22"/>
                <w:szCs w:val="22"/>
              </w:rPr>
            </w:pPr>
            <w:r>
              <w:rPr>
                <w:rFonts w:ascii="Arial" w:hAnsi="Arial"/>
                <w:sz w:val="22"/>
              </w:rPr>
              <w:t xml:space="preserve">Gaurko garapen teknologikoak eta zepei balioa emateko eragiketen esparruan ingurumen-arriskuak ebaluatzeko egin diren prozesuetan atera diren emaitza positiboek egiaztatu egin dute ona dela arku elektrikoko zepak eraikuntzaren eta zementuaren sektorean erabiltzea, eta, horrela, zabortegira botatzeak dakartzan ingurumen-inpaktuak murrizten direla. Gauzak horrela, zepei balioa ematea ahalbidetzen duen ezagutza teknikoaren egungo egoera jasoko duen erregulazio berria behar da. </w:t>
            </w:r>
          </w:p>
        </w:tc>
      </w:tr>
      <w:tr w:rsidR="00DB0BC9" w:rsidTr="003A404C">
        <w:tc>
          <w:tcPr>
            <w:tcW w:w="2660" w:type="dxa"/>
          </w:tcPr>
          <w:p w:rsidR="00523193" w:rsidRDefault="00523193" w:rsidP="00DB0BC9">
            <w:pPr>
              <w:autoSpaceDE w:val="0"/>
              <w:autoSpaceDN w:val="0"/>
              <w:adjustRightInd w:val="0"/>
              <w:spacing w:line="360" w:lineRule="auto"/>
              <w:jc w:val="both"/>
              <w:rPr>
                <w:rFonts w:ascii="Arial" w:hAnsi="Arial" w:cs="Arial"/>
                <w:b/>
                <w:bCs/>
                <w:color w:val="00003A"/>
                <w:sz w:val="22"/>
                <w:szCs w:val="22"/>
              </w:rPr>
            </w:pPr>
          </w:p>
          <w:p w:rsidR="00523193" w:rsidRDefault="00523193" w:rsidP="00DB0BC9">
            <w:pPr>
              <w:autoSpaceDE w:val="0"/>
              <w:autoSpaceDN w:val="0"/>
              <w:adjustRightInd w:val="0"/>
              <w:spacing w:line="360" w:lineRule="auto"/>
              <w:jc w:val="both"/>
              <w:rPr>
                <w:rFonts w:ascii="Arial" w:hAnsi="Arial" w:cs="Arial"/>
                <w:b/>
                <w:bCs/>
                <w:color w:val="00003A"/>
                <w:sz w:val="22"/>
                <w:szCs w:val="22"/>
              </w:rPr>
            </w:pPr>
          </w:p>
          <w:p w:rsidR="00DB0BC9" w:rsidRPr="00DB0BC9" w:rsidRDefault="00DB0BC9" w:rsidP="00523193">
            <w:pPr>
              <w:autoSpaceDE w:val="0"/>
              <w:autoSpaceDN w:val="0"/>
              <w:adjustRightInd w:val="0"/>
              <w:rPr>
                <w:rFonts w:ascii="Arial" w:hAnsi="Arial" w:cs="Arial"/>
                <w:b/>
                <w:sz w:val="22"/>
                <w:szCs w:val="22"/>
              </w:rPr>
            </w:pPr>
            <w:r>
              <w:rPr>
                <w:rFonts w:ascii="Arial" w:hAnsi="Arial"/>
                <w:b/>
                <w:color w:val="00003A"/>
                <w:sz w:val="22"/>
              </w:rPr>
              <w:t>ARAUAREN XEDEAK</w:t>
            </w:r>
          </w:p>
        </w:tc>
        <w:tc>
          <w:tcPr>
            <w:tcW w:w="5985" w:type="dxa"/>
          </w:tcPr>
          <w:p w:rsidR="00231ACA" w:rsidRDefault="00231ACA" w:rsidP="00231ACA">
            <w:pPr>
              <w:autoSpaceDE w:val="0"/>
              <w:autoSpaceDN w:val="0"/>
              <w:adjustRightInd w:val="0"/>
              <w:jc w:val="both"/>
              <w:rPr>
                <w:rFonts w:ascii="Arial" w:hAnsi="Arial" w:cs="Arial"/>
                <w:sz w:val="22"/>
                <w:szCs w:val="22"/>
              </w:rPr>
            </w:pPr>
            <w:r>
              <w:rPr>
                <w:rFonts w:ascii="Arial" w:hAnsi="Arial"/>
                <w:sz w:val="22"/>
              </w:rPr>
              <w:t>Honako hauek dira arauaren xedeak:</w:t>
            </w:r>
          </w:p>
          <w:p w:rsidR="00231ACA" w:rsidRDefault="00231ACA" w:rsidP="00231ACA">
            <w:pPr>
              <w:autoSpaceDE w:val="0"/>
              <w:autoSpaceDN w:val="0"/>
              <w:adjustRightInd w:val="0"/>
              <w:jc w:val="both"/>
              <w:rPr>
                <w:rFonts w:ascii="Arial" w:hAnsi="Arial" w:cs="Arial"/>
                <w:sz w:val="22"/>
                <w:szCs w:val="22"/>
              </w:rPr>
            </w:pPr>
          </w:p>
          <w:p w:rsidR="00231ACA" w:rsidRPr="00231ACA" w:rsidRDefault="00231ACA" w:rsidP="00231ACA">
            <w:pPr>
              <w:pStyle w:val="Prrafodelista"/>
              <w:numPr>
                <w:ilvl w:val="0"/>
                <w:numId w:val="4"/>
              </w:numPr>
              <w:autoSpaceDE w:val="0"/>
              <w:autoSpaceDN w:val="0"/>
              <w:adjustRightInd w:val="0"/>
              <w:jc w:val="both"/>
              <w:rPr>
                <w:rFonts w:ascii="Arial" w:hAnsi="Arial" w:cs="Arial"/>
                <w:sz w:val="22"/>
                <w:szCs w:val="22"/>
              </w:rPr>
            </w:pPr>
            <w:r>
              <w:rPr>
                <w:rFonts w:ascii="Arial" w:hAnsi="Arial"/>
                <w:sz w:val="22"/>
              </w:rPr>
              <w:t>Altzairu-fabrikazioaren sektorean bide ematea ekonomia zirkularrari, balorizatutako zepak edo agregakin siderurgikoak ekoizpen-ziklora sartzea sustatuz.</w:t>
            </w:r>
          </w:p>
          <w:p w:rsidR="00231ACA" w:rsidRPr="00231ACA" w:rsidRDefault="00231ACA" w:rsidP="00231ACA">
            <w:pPr>
              <w:autoSpaceDE w:val="0"/>
              <w:autoSpaceDN w:val="0"/>
              <w:adjustRightInd w:val="0"/>
              <w:jc w:val="both"/>
              <w:rPr>
                <w:rFonts w:ascii="Arial" w:hAnsi="Arial" w:cs="Arial"/>
                <w:sz w:val="22"/>
                <w:szCs w:val="22"/>
              </w:rPr>
            </w:pPr>
          </w:p>
          <w:p w:rsidR="00231ACA" w:rsidRPr="00231ACA" w:rsidRDefault="00231ACA" w:rsidP="00231ACA">
            <w:pPr>
              <w:pStyle w:val="Prrafodelista"/>
              <w:numPr>
                <w:ilvl w:val="0"/>
                <w:numId w:val="4"/>
              </w:numPr>
              <w:autoSpaceDE w:val="0"/>
              <w:autoSpaceDN w:val="0"/>
              <w:adjustRightInd w:val="0"/>
              <w:jc w:val="both"/>
              <w:rPr>
                <w:rFonts w:ascii="Arial" w:hAnsi="Arial" w:cs="Arial"/>
                <w:sz w:val="22"/>
                <w:szCs w:val="22"/>
              </w:rPr>
            </w:pPr>
            <w:r>
              <w:rPr>
                <w:rFonts w:ascii="Arial" w:hAnsi="Arial"/>
                <w:sz w:val="22"/>
              </w:rPr>
              <w:t>Berotegi-efektuko gasen igorpenak murrizten laguntzea, urtean gutxi gorabehera 550.000 tona agregakin siderurgiko sartuz eraikuntza-erabilerara, agregakin naturalen ordez.</w:t>
            </w:r>
          </w:p>
          <w:p w:rsidR="00231ACA" w:rsidRDefault="00231ACA" w:rsidP="00231ACA">
            <w:pPr>
              <w:pStyle w:val="Default"/>
            </w:pPr>
          </w:p>
          <w:p w:rsidR="00231ACA" w:rsidRPr="00231ACA" w:rsidRDefault="00231ACA" w:rsidP="00231ACA">
            <w:pPr>
              <w:pStyle w:val="Prrafodelista"/>
              <w:numPr>
                <w:ilvl w:val="0"/>
                <w:numId w:val="4"/>
              </w:numPr>
              <w:autoSpaceDE w:val="0"/>
              <w:autoSpaceDN w:val="0"/>
              <w:adjustRightInd w:val="0"/>
              <w:jc w:val="both"/>
              <w:rPr>
                <w:rFonts w:ascii="Arial" w:hAnsi="Arial" w:cs="Arial"/>
                <w:sz w:val="22"/>
                <w:szCs w:val="22"/>
              </w:rPr>
            </w:pPr>
            <w:r>
              <w:rPr>
                <w:rFonts w:ascii="Arial" w:hAnsi="Arial"/>
                <w:sz w:val="22"/>
              </w:rPr>
              <w:t>Materialen gaineko kontrol-prozesuetan eskatzen den lixibiazioaren metodologia homogeneizatzea. Altzairua arku elektrikoko labean fabrikatzeak sorrarazten duen zeparen balorizazioa eta gerora agregakin gisa erabiltzea erregulatzen duen otsailaren 18ko 34/</w:t>
            </w:r>
            <w:r w:rsidR="001B1B98">
              <w:rPr>
                <w:rFonts w:ascii="Arial" w:hAnsi="Arial"/>
                <w:sz w:val="22"/>
              </w:rPr>
              <w:t>2</w:t>
            </w:r>
            <w:r>
              <w:rPr>
                <w:rFonts w:ascii="Arial" w:hAnsi="Arial"/>
                <w:sz w:val="22"/>
              </w:rPr>
              <w:t>00</w:t>
            </w:r>
            <w:r w:rsidR="001B1B98">
              <w:rPr>
                <w:rFonts w:ascii="Arial" w:hAnsi="Arial"/>
                <w:sz w:val="22"/>
              </w:rPr>
              <w:t>3</w:t>
            </w:r>
            <w:bookmarkStart w:id="0" w:name="_GoBack"/>
            <w:bookmarkEnd w:id="0"/>
            <w:r>
              <w:rPr>
                <w:rFonts w:ascii="Arial" w:hAnsi="Arial"/>
                <w:sz w:val="22"/>
              </w:rPr>
              <w:t xml:space="preserve"> Dekretuan eta hondakinak hondakindegietan biltegiratuta eta betelanak eginda ezabatzea erregulatzen duen otsailaren 24ko 49/2009 Dekretuan dago azalduta lixibiazioaren metodologia.</w:t>
            </w:r>
          </w:p>
          <w:p w:rsidR="00231ACA" w:rsidRPr="00231ACA" w:rsidRDefault="00231ACA" w:rsidP="00231ACA">
            <w:pPr>
              <w:autoSpaceDE w:val="0"/>
              <w:autoSpaceDN w:val="0"/>
              <w:adjustRightInd w:val="0"/>
              <w:jc w:val="both"/>
              <w:rPr>
                <w:rFonts w:ascii="Arial" w:hAnsi="Arial" w:cs="Arial"/>
                <w:sz w:val="22"/>
                <w:szCs w:val="22"/>
              </w:rPr>
            </w:pPr>
          </w:p>
          <w:p w:rsidR="00231ACA" w:rsidRPr="00231ACA" w:rsidRDefault="00231ACA" w:rsidP="00231ACA">
            <w:pPr>
              <w:pStyle w:val="Prrafodelista"/>
              <w:numPr>
                <w:ilvl w:val="0"/>
                <w:numId w:val="4"/>
              </w:numPr>
              <w:autoSpaceDE w:val="0"/>
              <w:autoSpaceDN w:val="0"/>
              <w:adjustRightInd w:val="0"/>
              <w:jc w:val="both"/>
              <w:rPr>
                <w:rFonts w:ascii="Arial" w:hAnsi="Arial" w:cs="Arial"/>
                <w:sz w:val="22"/>
                <w:szCs w:val="22"/>
              </w:rPr>
            </w:pPr>
            <w:r>
              <w:rPr>
                <w:rFonts w:ascii="Arial" w:hAnsi="Arial"/>
                <w:sz w:val="22"/>
              </w:rPr>
              <w:t>Balorizatutako zepen edo agregakin siderurgikoen erabilerak zabaltzea (otsailaren 18ko 34/2003 Dekretuan erregulatzen dira erabilera horiek).</w:t>
            </w:r>
          </w:p>
          <w:p w:rsidR="00231ACA" w:rsidRDefault="00231ACA" w:rsidP="00231ACA">
            <w:pPr>
              <w:pStyle w:val="Default"/>
            </w:pPr>
          </w:p>
          <w:p w:rsidR="00231ACA" w:rsidRPr="00231ACA" w:rsidRDefault="00231ACA" w:rsidP="00231ACA">
            <w:pPr>
              <w:pStyle w:val="Prrafodelista"/>
              <w:numPr>
                <w:ilvl w:val="0"/>
                <w:numId w:val="4"/>
              </w:numPr>
              <w:autoSpaceDE w:val="0"/>
              <w:autoSpaceDN w:val="0"/>
              <w:adjustRightInd w:val="0"/>
              <w:jc w:val="both"/>
              <w:rPr>
                <w:rFonts w:ascii="Arial" w:hAnsi="Arial" w:cs="Arial"/>
                <w:sz w:val="22"/>
                <w:szCs w:val="22"/>
              </w:rPr>
            </w:pPr>
            <w:r>
              <w:rPr>
                <w:rFonts w:ascii="Arial" w:hAnsi="Arial"/>
                <w:sz w:val="22"/>
              </w:rPr>
              <w:t>Balorizatutako zepak edo agregakin siderurgikoak erabiltzeak gizakien osasunerako eta ekosistemetarako arrisku onartezinik ez dakarrela bermatzea.</w:t>
            </w:r>
          </w:p>
          <w:p w:rsidR="00380D6E" w:rsidRDefault="00380D6E" w:rsidP="00380D6E">
            <w:pPr>
              <w:jc w:val="both"/>
              <w:rPr>
                <w:rFonts w:ascii="Arial" w:hAnsi="Arial" w:cs="Arial"/>
                <w:sz w:val="22"/>
                <w:szCs w:val="22"/>
              </w:rPr>
            </w:pPr>
          </w:p>
        </w:tc>
      </w:tr>
      <w:tr w:rsidR="00DB0BC9" w:rsidTr="00523193">
        <w:trPr>
          <w:trHeight w:val="1311"/>
        </w:trPr>
        <w:tc>
          <w:tcPr>
            <w:tcW w:w="2660" w:type="dxa"/>
          </w:tcPr>
          <w:p w:rsidR="00E52DB9" w:rsidRDefault="00E52DB9" w:rsidP="00DB0BC9">
            <w:pPr>
              <w:autoSpaceDE w:val="0"/>
              <w:autoSpaceDN w:val="0"/>
              <w:adjustRightInd w:val="0"/>
              <w:rPr>
                <w:rFonts w:ascii="Arial" w:hAnsi="Arial" w:cs="Arial"/>
                <w:b/>
                <w:bCs/>
                <w:color w:val="00003A"/>
                <w:sz w:val="22"/>
                <w:szCs w:val="22"/>
              </w:rPr>
            </w:pPr>
          </w:p>
          <w:p w:rsidR="00DB0BC9" w:rsidRPr="00DB0BC9" w:rsidRDefault="00DB0BC9" w:rsidP="00DB0BC9">
            <w:pPr>
              <w:autoSpaceDE w:val="0"/>
              <w:autoSpaceDN w:val="0"/>
              <w:adjustRightInd w:val="0"/>
              <w:rPr>
                <w:rFonts w:ascii="Arial" w:hAnsi="Arial" w:cs="Arial"/>
                <w:b/>
                <w:sz w:val="22"/>
                <w:szCs w:val="22"/>
              </w:rPr>
            </w:pPr>
            <w:r>
              <w:rPr>
                <w:rFonts w:ascii="Arial" w:hAnsi="Arial"/>
                <w:b/>
                <w:color w:val="00003A"/>
                <w:sz w:val="22"/>
              </w:rPr>
              <w:t>EGON DAITEZKEEN ORDEZKO IRTENBIDE ERREGULATZAILEAK ETA EZ-ERREGULATZAILEAK</w:t>
            </w:r>
          </w:p>
        </w:tc>
        <w:tc>
          <w:tcPr>
            <w:tcW w:w="5985" w:type="dxa"/>
          </w:tcPr>
          <w:p w:rsidR="001033E2" w:rsidRPr="00AF47B4" w:rsidRDefault="001033E2" w:rsidP="001033E2">
            <w:pPr>
              <w:jc w:val="both"/>
              <w:rPr>
                <w:rFonts w:ascii="Arial" w:hAnsi="Arial" w:cs="Arial"/>
                <w:sz w:val="22"/>
                <w:szCs w:val="22"/>
              </w:rPr>
            </w:pPr>
            <w:r>
              <w:rPr>
                <w:rFonts w:ascii="Arial" w:hAnsi="Arial"/>
                <w:sz w:val="22"/>
              </w:rPr>
              <w:t>Ekonomia zirkularrak goitik behera optimizatzen ditu ekoizpen-prozesuak, lehengai natural gutxiago kontsumitzen ditu (EAEko industria-sektorean, 23 megatona lehengai kontsumitzen dira urtean), hondakin gutxiago sorrarazten ditu (industriak sortzen ditu guztizko hondakinen % 57, eta horien % 47k zabortegian amaitzen dute), eta hondakin horiek ia osorik itzularazten ditu sistemara, berrerabiltzeko eta birziklatzeko jarduera aurreratu eta berritzaileen bidez. Azkenik, klima-aldaketa eragiten duten gas kutsatzaile eta berotegi-efektuko gas gutxiago igortzen ditu.</w:t>
            </w:r>
          </w:p>
          <w:p w:rsidR="00DB0BC9" w:rsidRDefault="00AF47B4" w:rsidP="001033E2">
            <w:pPr>
              <w:jc w:val="both"/>
              <w:rPr>
                <w:rFonts w:ascii="Arial" w:hAnsi="Arial" w:cs="Arial"/>
                <w:sz w:val="22"/>
                <w:szCs w:val="22"/>
              </w:rPr>
            </w:pPr>
            <w:r>
              <w:rPr>
                <w:rFonts w:ascii="Arial" w:hAnsi="Arial"/>
                <w:sz w:val="22"/>
              </w:rPr>
              <w:t xml:space="preserve">Zepa horiek –balorizatu beharrean– zabortegian biltegiratuz kudeatzeak ez du bat egiten Europar Batasuneko industria-politika integratuarekin, ekonomia zirkularraren alde egiten baitu horrek, Europako industria-sektorea espezializatzeko eta bereizteko funtsezko alderdi modura. </w:t>
            </w:r>
          </w:p>
        </w:tc>
      </w:tr>
    </w:tbl>
    <w:p w:rsidR="00DB0BC9" w:rsidRPr="00DB0BC9" w:rsidRDefault="00DB0BC9" w:rsidP="00DB0BC9">
      <w:pPr>
        <w:autoSpaceDE w:val="0"/>
        <w:autoSpaceDN w:val="0"/>
        <w:adjustRightInd w:val="0"/>
        <w:spacing w:line="360" w:lineRule="auto"/>
        <w:jc w:val="both"/>
        <w:rPr>
          <w:rFonts w:ascii="Arial" w:hAnsi="Arial" w:cs="Arial"/>
          <w:sz w:val="22"/>
          <w:szCs w:val="22"/>
        </w:rPr>
      </w:pPr>
    </w:p>
    <w:sectPr w:rsidR="00DB0BC9" w:rsidRPr="00DB0BC9">
      <w:headerReference w:type="default" r:id="rId9"/>
      <w:footerReference w:type="default" r:id="rId10"/>
      <w:headerReference w:type="first" r:id="rId11"/>
      <w:footerReference w:type="first" r:id="rId12"/>
      <w:pgSz w:w="11907" w:h="16840"/>
      <w:pgMar w:top="1418" w:right="1701" w:bottom="1418" w:left="1701" w:header="720" w:footer="8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31" w:rsidRDefault="00753831">
      <w:r>
        <w:separator/>
      </w:r>
    </w:p>
  </w:endnote>
  <w:endnote w:type="continuationSeparator" w:id="0">
    <w:p w:rsidR="00753831" w:rsidRDefault="0075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9689432"/>
      <w:docPartObj>
        <w:docPartGallery w:val="Page Numbers (Bottom of Page)"/>
        <w:docPartUnique/>
      </w:docPartObj>
    </w:sdtPr>
    <w:sdtEndPr/>
    <w:sdtContent>
      <w:p w:rsidR="006E2E39" w:rsidRDefault="006E2E39">
        <w:pPr>
          <w:pStyle w:val="Piedepgina"/>
          <w:jc w:val="center"/>
        </w:pPr>
        <w:r>
          <w:fldChar w:fldCharType="begin"/>
        </w:r>
        <w:r>
          <w:instrText>PAGE   \* MERGEFORMAT</w:instrText>
        </w:r>
        <w:r>
          <w:fldChar w:fldCharType="separate"/>
        </w:r>
        <w:r w:rsidR="001B1B98">
          <w:rPr>
            <w:noProof/>
          </w:rPr>
          <w:t>2</w:t>
        </w:r>
        <w:r>
          <w:fldChar w:fldCharType="end"/>
        </w:r>
      </w:p>
    </w:sdtContent>
  </w:sdt>
  <w:p w:rsidR="006E2E39" w:rsidRDefault="006E2E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265424"/>
      <w:docPartObj>
        <w:docPartGallery w:val="Page Numbers (Bottom of Page)"/>
        <w:docPartUnique/>
      </w:docPartObj>
    </w:sdtPr>
    <w:sdtEndPr/>
    <w:sdtContent>
      <w:p w:rsidR="00467AA4" w:rsidRDefault="00467AA4">
        <w:pPr>
          <w:pStyle w:val="Piedepgina"/>
          <w:jc w:val="center"/>
        </w:pPr>
        <w:r>
          <w:fldChar w:fldCharType="begin"/>
        </w:r>
        <w:r>
          <w:instrText>PAGE   \* MERGEFORMAT</w:instrText>
        </w:r>
        <w:r>
          <w:fldChar w:fldCharType="separate"/>
        </w:r>
        <w:r w:rsidR="001B1B98">
          <w:rPr>
            <w:noProof/>
          </w:rPr>
          <w:t>1</w:t>
        </w:r>
        <w:r>
          <w:fldChar w:fldCharType="end"/>
        </w:r>
      </w:p>
    </w:sdtContent>
  </w:sdt>
  <w:p w:rsidR="00C5743C" w:rsidRPr="00C5743C" w:rsidRDefault="00C5743C">
    <w:pPr>
      <w:pStyle w:val="Piedepgina"/>
      <w:jc w:val="center"/>
      <w:rPr>
        <w:rFonts w:ascii="Arial" w:hAnsi="Arial"/>
        <w:sz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31" w:rsidRDefault="00753831">
      <w:r>
        <w:separator/>
      </w:r>
    </w:p>
  </w:footnote>
  <w:footnote w:type="continuationSeparator" w:id="0">
    <w:p w:rsidR="00753831" w:rsidRDefault="00753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3C" w:rsidRDefault="00C5743C">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pt;height:24.15pt" o:ole="" fillcolor="window">
          <v:imagedata r:id="rId1" o:title=""/>
        </v:shape>
        <o:OLEObject Type="Embed" ProgID="MSPhotoEd.3" ShapeID="_x0000_i1025" DrawAspect="Content" ObjectID="_1580554388" r:id="rId2"/>
      </w:object>
    </w:r>
  </w:p>
  <w:p w:rsidR="00C5743C" w:rsidRDefault="00C574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3C" w:rsidRDefault="006B1A61">
    <w:pPr>
      <w:pStyle w:val="Encabezado"/>
      <w:tabs>
        <w:tab w:val="right" w:pos="9923"/>
      </w:tabs>
      <w:ind w:right="-142"/>
      <w:jc w:val="center"/>
      <w:rPr>
        <w:rFonts w:ascii="Arial" w:hAnsi="Arial"/>
        <w:sz w:val="16"/>
      </w:rPr>
    </w:pPr>
    <w:r>
      <w:rPr>
        <w:noProof/>
        <w:lang w:val="es-ES" w:eastAsia="es-ES" w:bidi="ar-SA"/>
      </w:rPr>
      <mc:AlternateContent>
        <mc:Choice Requires="wps">
          <w:drawing>
            <wp:anchor distT="0" distB="0" distL="114300" distR="114300" simplePos="0" relativeHeight="251658240" behindDoc="0" locked="0" layoutInCell="1" allowOverlap="1">
              <wp:simplePos x="0" y="0"/>
              <wp:positionH relativeFrom="page">
                <wp:posOffset>1781175</wp:posOffset>
              </wp:positionH>
              <wp:positionV relativeFrom="page">
                <wp:posOffset>900430</wp:posOffset>
              </wp:positionV>
              <wp:extent cx="2002790" cy="63500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F54" w:rsidRDefault="00A26F54" w:rsidP="00A26F54">
                          <w:pPr>
                            <w:pStyle w:val="Ttulo2"/>
                            <w:spacing w:after="35"/>
                          </w:pPr>
                          <w:r>
                            <w:t>INGURUMEN, LURRALDE PLANGINTZA ETA ETXEBIZITZA SAILA</w:t>
                          </w:r>
                        </w:p>
                        <w:p w:rsidR="00A26F54" w:rsidRDefault="00A26F54" w:rsidP="00A26F5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left:0;text-align:left;margin-left:140.25pt;margin-top:70.9pt;width:157.7pt;height:5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" filled="f" stroked="f">
              <v:textbox>
                <w:txbxContent>
                  <w:p w:rsidR="00A26F54" w:rsidRDefault="00A26F54" w:rsidP="00A26F54">
                    <w:pPr>
                      <w:pStyle w:val="Ttulo2"/>
                      <w:spacing w:after="35"/>
                    </w:pPr>
                    <w:r>
                      <w:t>INGURUMEN, LURRALDE PLANGINTZA ETA ETXEBIZITZA SAILA</w:t>
                    </w:r>
                  </w:p>
                  <w:p w:rsidR="00A26F54" w:rsidRDefault="00A26F54" w:rsidP="00A26F54">
                    <w:pPr>
                      <w:pStyle w:val="Ttulo4"/>
                    </w:pPr>
                  </w:p>
                </w:txbxContent>
              </v:textbox>
              <w10:wrap xmlns:w10="urn:schemas-microsoft-com:office:word" type="square" anchorx="page" anchory="page"/>
            </v:shape>
          </w:pict>
        </mc:Fallback>
      </mc:AlternateContent>
    </w:r>
    <w:r>
      <w:rPr>
        <w:noProof/>
        <w:lang w:val="es-ES" w:eastAsia="es-ES" w:bidi="ar-SA"/>
      </w:rPr>
      <mc:AlternateContent>
        <mc:Choice Requires="wps">
          <w:drawing>
            <wp:anchor distT="0" distB="0" distL="114300" distR="114300" simplePos="0" relativeHeight="251657216" behindDoc="0" locked="0" layoutInCell="1" allowOverlap="1">
              <wp:simplePos x="0" y="0"/>
              <wp:positionH relativeFrom="page">
                <wp:posOffset>4124325</wp:posOffset>
              </wp:positionH>
              <wp:positionV relativeFrom="page">
                <wp:posOffset>900430</wp:posOffset>
              </wp:positionV>
              <wp:extent cx="2105025" cy="5041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F54" w:rsidRDefault="00A26F54" w:rsidP="00A26F54">
                          <w:pPr>
                            <w:pStyle w:val="Ttulo2"/>
                            <w:spacing w:after="35"/>
                          </w:pPr>
                          <w:r>
                            <w:t xml:space="preserve">DEPARTAMENTO DE MEDIO AMBIENTE, </w:t>
                          </w:r>
                          <w:r>
                            <w:br/>
                            <w:t>PLANIFICACIÓN TERRITORIAL Y VIVIENDA</w:t>
                          </w:r>
                        </w:p>
                        <w:p w:rsidR="00A26F54" w:rsidRDefault="00A26F54" w:rsidP="00A26F54">
                          <w:pPr>
                            <w:pStyle w:val="Ttulo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xmlns:o="urn:schemas-microsoft-com:office:office" xmlns:v="urn:schemas-microsoft-com:vml" id="Text Box 2" o:spid="_x0000_s1027" type="#_x0000_t202" style="position:absolute;left:0;text-align:left;margin-left:324.75pt;margin-top:70.9pt;width:165.75pt;height:39.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02twIAAMA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" filled="f" stroked="f">
              <v:textbox>
                <w:txbxContent>
                  <w:p w:rsidR="00A26F54" w:rsidRDefault="00A26F54" w:rsidP="00A26F54">
                    <w:pPr>
                      <w:pStyle w:val="Ttulo2"/>
                      <w:spacing w:after="35"/>
                    </w:pPr>
                    <w:r>
                      <w:t xml:space="preserve">DEPARTAMENTO DE MEDIO AMBIENTE, </w:t>
                    </w:r>
                    <w:r>
                      <w:br/>
                    </w:r>
                    <w:r>
                      <w:t>PLANIFICACIÓN TERRITORIAL Y VIVIENDA</w:t>
                    </w:r>
                  </w:p>
                  <w:p w:rsidR="00A26F54" w:rsidRDefault="00A26F54" w:rsidP="00A26F54">
                    <w:pPr>
                      <w:pStyle w:val="Ttulo4"/>
                    </w:pPr>
                  </w:p>
                </w:txbxContent>
              </v:textbox>
              <w10:wrap xmlns:w10="urn:schemas-microsoft-com:office:word" type="square" anchorx="page" anchory="page"/>
            </v:shape>
          </w:pict>
        </mc:Fallback>
      </mc:AlternateContent>
    </w:r>
    <w:r>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55pt;height:36.45pt" o:ole="" fillcolor="window">
          <v:imagedata r:id="rId1" o:title=""/>
        </v:shape>
        <o:OLEObject Type="Embed" ProgID="MSPhotoEd.3" ShapeID="_x0000_i1026" DrawAspect="Content" ObjectID="_1580554389" r:id="rId2"/>
      </w:object>
    </w:r>
  </w:p>
  <w:p w:rsidR="00C5743C" w:rsidRDefault="00C5743C">
    <w:pPr>
      <w:pStyle w:val="Encabezado"/>
      <w:tabs>
        <w:tab w:val="right" w:pos="9923"/>
      </w:tabs>
      <w:ind w:right="-142"/>
      <w:jc w:val="center"/>
      <w:rPr>
        <w:rFonts w:ascii="Arial" w:hAnsi="Arial"/>
        <w:sz w:val="16"/>
      </w:rPr>
    </w:pPr>
  </w:p>
  <w:p w:rsidR="00C5743C" w:rsidRDefault="00C5743C">
    <w:pPr>
      <w:pStyle w:val="Encabezado"/>
      <w:tabs>
        <w:tab w:val="right" w:pos="9923"/>
      </w:tabs>
      <w:ind w:right="-142"/>
      <w:jc w:val="center"/>
      <w:rPr>
        <w:rFonts w:ascii="Arial" w:hAnsi="Arial"/>
        <w:sz w:val="16"/>
      </w:rPr>
    </w:pPr>
  </w:p>
  <w:p w:rsidR="00C5743C" w:rsidRDefault="00C5743C">
    <w:pPr>
      <w:pStyle w:val="Encabezado"/>
      <w:tabs>
        <w:tab w:val="right" w:pos="9923"/>
      </w:tabs>
      <w:ind w:right="-142"/>
      <w:jc w:val="center"/>
      <w:rPr>
        <w:rFonts w:ascii="Arial" w:hAnsi="Arial"/>
        <w:sz w:val="16"/>
      </w:rPr>
    </w:pPr>
  </w:p>
  <w:p w:rsidR="00C5743C" w:rsidRDefault="00C5743C">
    <w:pPr>
      <w:pStyle w:val="Encabezado"/>
      <w:tabs>
        <w:tab w:val="right" w:pos="9923"/>
      </w:tabs>
      <w:ind w:right="-142"/>
      <w:jc w:val="center"/>
      <w:rPr>
        <w:rFonts w:ascii="Arial" w:hAnsi="Arial"/>
        <w:sz w:val="16"/>
      </w:rPr>
    </w:pPr>
  </w:p>
  <w:p w:rsidR="00C5743C" w:rsidRDefault="00C5743C">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0DC8"/>
    <w:multiLevelType w:val="hybridMultilevel"/>
    <w:tmpl w:val="D1264D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6EB1A09"/>
    <w:multiLevelType w:val="hybridMultilevel"/>
    <w:tmpl w:val="6DEC68EA"/>
    <w:lvl w:ilvl="0" w:tplc="EEB8C72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1BD0ECA"/>
    <w:multiLevelType w:val="hybridMultilevel"/>
    <w:tmpl w:val="064850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96B25EF"/>
    <w:multiLevelType w:val="hybridMultilevel"/>
    <w:tmpl w:val="0916D5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C9"/>
    <w:rsid w:val="000426F2"/>
    <w:rsid w:val="00045AED"/>
    <w:rsid w:val="000934E0"/>
    <w:rsid w:val="00094EF5"/>
    <w:rsid w:val="000B2885"/>
    <w:rsid w:val="000C0E8A"/>
    <w:rsid w:val="000E67FE"/>
    <w:rsid w:val="00100953"/>
    <w:rsid w:val="001033E2"/>
    <w:rsid w:val="00104873"/>
    <w:rsid w:val="001319CB"/>
    <w:rsid w:val="00150F36"/>
    <w:rsid w:val="0015566B"/>
    <w:rsid w:val="001725C7"/>
    <w:rsid w:val="001739E9"/>
    <w:rsid w:val="001B1B98"/>
    <w:rsid w:val="001F794C"/>
    <w:rsid w:val="00210166"/>
    <w:rsid w:val="00212ACB"/>
    <w:rsid w:val="00231ACA"/>
    <w:rsid w:val="002932E3"/>
    <w:rsid w:val="00294EE0"/>
    <w:rsid w:val="002B5B7D"/>
    <w:rsid w:val="002C6DF0"/>
    <w:rsid w:val="002D7662"/>
    <w:rsid w:val="002F2942"/>
    <w:rsid w:val="00304BC1"/>
    <w:rsid w:val="003522F8"/>
    <w:rsid w:val="00380D6E"/>
    <w:rsid w:val="00384418"/>
    <w:rsid w:val="003A08A5"/>
    <w:rsid w:val="003A404C"/>
    <w:rsid w:val="003B0967"/>
    <w:rsid w:val="003C2063"/>
    <w:rsid w:val="003C3AC4"/>
    <w:rsid w:val="003D5DB2"/>
    <w:rsid w:val="003D6AE1"/>
    <w:rsid w:val="00423399"/>
    <w:rsid w:val="0043681E"/>
    <w:rsid w:val="00467AA4"/>
    <w:rsid w:val="00523193"/>
    <w:rsid w:val="00544A82"/>
    <w:rsid w:val="0056575A"/>
    <w:rsid w:val="00572A1F"/>
    <w:rsid w:val="00573683"/>
    <w:rsid w:val="00575F4D"/>
    <w:rsid w:val="005E2E80"/>
    <w:rsid w:val="005F64A6"/>
    <w:rsid w:val="00611A4C"/>
    <w:rsid w:val="0063659C"/>
    <w:rsid w:val="00667D1F"/>
    <w:rsid w:val="00672E34"/>
    <w:rsid w:val="00675C1E"/>
    <w:rsid w:val="00676866"/>
    <w:rsid w:val="006915D2"/>
    <w:rsid w:val="006952C7"/>
    <w:rsid w:val="006963BA"/>
    <w:rsid w:val="006B1A61"/>
    <w:rsid w:val="006C3985"/>
    <w:rsid w:val="006E2E39"/>
    <w:rsid w:val="006F39ED"/>
    <w:rsid w:val="00714F20"/>
    <w:rsid w:val="0073169F"/>
    <w:rsid w:val="00753831"/>
    <w:rsid w:val="00781019"/>
    <w:rsid w:val="007A52BA"/>
    <w:rsid w:val="007E001F"/>
    <w:rsid w:val="007E2B30"/>
    <w:rsid w:val="007E5EFE"/>
    <w:rsid w:val="0080451C"/>
    <w:rsid w:val="00860D91"/>
    <w:rsid w:val="00884525"/>
    <w:rsid w:val="008D29A4"/>
    <w:rsid w:val="008E4B64"/>
    <w:rsid w:val="00915860"/>
    <w:rsid w:val="00996F86"/>
    <w:rsid w:val="009D2C39"/>
    <w:rsid w:val="00A01969"/>
    <w:rsid w:val="00A245E5"/>
    <w:rsid w:val="00A26F54"/>
    <w:rsid w:val="00A31CFC"/>
    <w:rsid w:val="00A63FC7"/>
    <w:rsid w:val="00AA69FA"/>
    <w:rsid w:val="00AA6D4C"/>
    <w:rsid w:val="00AC51AC"/>
    <w:rsid w:val="00AE5848"/>
    <w:rsid w:val="00AF47B4"/>
    <w:rsid w:val="00B70433"/>
    <w:rsid w:val="00B708CB"/>
    <w:rsid w:val="00B74B15"/>
    <w:rsid w:val="00BE15C5"/>
    <w:rsid w:val="00C0185A"/>
    <w:rsid w:val="00C15EBC"/>
    <w:rsid w:val="00C16242"/>
    <w:rsid w:val="00C20F4E"/>
    <w:rsid w:val="00C27421"/>
    <w:rsid w:val="00C4489F"/>
    <w:rsid w:val="00C5743C"/>
    <w:rsid w:val="00C66388"/>
    <w:rsid w:val="00C84D36"/>
    <w:rsid w:val="00CB78EF"/>
    <w:rsid w:val="00CE6CA8"/>
    <w:rsid w:val="00DB047B"/>
    <w:rsid w:val="00DB0BC9"/>
    <w:rsid w:val="00DB7322"/>
    <w:rsid w:val="00DE4F84"/>
    <w:rsid w:val="00DF0C4E"/>
    <w:rsid w:val="00DF3FB3"/>
    <w:rsid w:val="00E12993"/>
    <w:rsid w:val="00E24BAB"/>
    <w:rsid w:val="00E52DB9"/>
    <w:rsid w:val="00EA3BF1"/>
    <w:rsid w:val="00EC604F"/>
    <w:rsid w:val="00EE2596"/>
    <w:rsid w:val="00F21726"/>
    <w:rsid w:val="00F2575B"/>
    <w:rsid w:val="00F41613"/>
    <w:rsid w:val="00F76AE9"/>
    <w:rsid w:val="00FE14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3C"/>
    <w:rPr>
      <w:sz w:val="24"/>
      <w:szCs w:val="24"/>
    </w:rPr>
  </w:style>
  <w:style w:type="paragraph" w:styleId="Ttulo2">
    <w:name w:val="heading 2"/>
    <w:basedOn w:val="Normal"/>
    <w:next w:val="Normal"/>
    <w:qFormat/>
    <w:rsid w:val="00C5743C"/>
    <w:pPr>
      <w:keepNext/>
      <w:outlineLvl w:val="1"/>
    </w:pPr>
    <w:rPr>
      <w:rFonts w:ascii="Arial" w:hAnsi="Arial"/>
      <w:b/>
      <w:sz w:val="14"/>
    </w:rPr>
  </w:style>
  <w:style w:type="paragraph" w:styleId="Ttulo4">
    <w:name w:val="heading 4"/>
    <w:basedOn w:val="Normal"/>
    <w:next w:val="Normal"/>
    <w:qFormat/>
    <w:rsid w:val="00C5743C"/>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743C"/>
    <w:pPr>
      <w:tabs>
        <w:tab w:val="center" w:pos="4819"/>
        <w:tab w:val="right" w:pos="9071"/>
      </w:tabs>
    </w:pPr>
  </w:style>
  <w:style w:type="paragraph" w:styleId="Encabezado">
    <w:name w:val="header"/>
    <w:basedOn w:val="Normal"/>
    <w:rsid w:val="00C5743C"/>
    <w:pPr>
      <w:tabs>
        <w:tab w:val="center" w:pos="4819"/>
        <w:tab w:val="right" w:pos="9071"/>
      </w:tabs>
    </w:pPr>
  </w:style>
  <w:style w:type="paragraph" w:styleId="Textoindependiente">
    <w:name w:val="Body Text"/>
    <w:basedOn w:val="Normal"/>
    <w:link w:val="TextoindependienteCar"/>
    <w:rsid w:val="000934E0"/>
    <w:rPr>
      <w:rFonts w:ascii="Arial" w:hAnsi="Arial" w:cs="Arial"/>
      <w:sz w:val="19"/>
      <w:szCs w:val="19"/>
    </w:rPr>
  </w:style>
  <w:style w:type="character" w:customStyle="1" w:styleId="TextoindependienteCar">
    <w:name w:val="Texto independiente Car"/>
    <w:link w:val="Textoindependiente"/>
    <w:rsid w:val="000934E0"/>
    <w:rPr>
      <w:rFonts w:ascii="Arial" w:hAnsi="Arial" w:cs="Arial"/>
      <w:sz w:val="19"/>
      <w:szCs w:val="19"/>
      <w:lang w:val="eu-ES" w:eastAsia="eu-ES"/>
    </w:rPr>
  </w:style>
  <w:style w:type="paragraph" w:styleId="Prrafodelista">
    <w:name w:val="List Paragraph"/>
    <w:basedOn w:val="Normal"/>
    <w:uiPriority w:val="34"/>
    <w:qFormat/>
    <w:rsid w:val="002F2942"/>
    <w:pPr>
      <w:ind w:left="720"/>
      <w:contextualSpacing/>
    </w:pPr>
  </w:style>
  <w:style w:type="paragraph" w:styleId="Textonotaalfinal">
    <w:name w:val="endnote text"/>
    <w:basedOn w:val="Normal"/>
    <w:link w:val="TextonotaalfinalCar"/>
    <w:rsid w:val="002F2942"/>
    <w:rPr>
      <w:sz w:val="20"/>
      <w:szCs w:val="20"/>
    </w:rPr>
  </w:style>
  <w:style w:type="character" w:customStyle="1" w:styleId="TextonotaalfinalCar">
    <w:name w:val="Texto nota al final Car"/>
    <w:basedOn w:val="Fuentedeprrafopredeter"/>
    <w:link w:val="Textonotaalfinal"/>
    <w:rsid w:val="002F2942"/>
  </w:style>
  <w:style w:type="character" w:styleId="Refdenotaalfinal">
    <w:name w:val="endnote reference"/>
    <w:rsid w:val="002F2942"/>
    <w:rPr>
      <w:vertAlign w:val="superscript"/>
    </w:rPr>
  </w:style>
  <w:style w:type="table" w:styleId="Tablaconcuadrcula">
    <w:name w:val="Table Grid"/>
    <w:basedOn w:val="Tablanormal"/>
    <w:rsid w:val="00DB0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B0BC9"/>
    <w:pPr>
      <w:autoSpaceDE w:val="0"/>
      <w:autoSpaceDN w:val="0"/>
      <w:adjustRightInd w:val="0"/>
    </w:pPr>
    <w:rPr>
      <w:rFonts w:ascii="Arial" w:hAnsi="Arial" w:cs="Arial"/>
      <w:color w:val="000000"/>
      <w:sz w:val="24"/>
      <w:szCs w:val="24"/>
    </w:rPr>
  </w:style>
  <w:style w:type="paragraph" w:customStyle="1" w:styleId="parrafo1">
    <w:name w:val="parrafo1"/>
    <w:basedOn w:val="Normal"/>
    <w:rsid w:val="00523193"/>
    <w:pPr>
      <w:spacing w:before="180" w:after="180"/>
      <w:ind w:firstLine="360"/>
      <w:jc w:val="both"/>
    </w:pPr>
  </w:style>
  <w:style w:type="paragraph" w:customStyle="1" w:styleId="parrafo22">
    <w:name w:val="parrafo_22"/>
    <w:basedOn w:val="Normal"/>
    <w:rsid w:val="00523193"/>
    <w:pPr>
      <w:spacing w:before="360" w:after="180"/>
      <w:ind w:firstLine="360"/>
      <w:jc w:val="both"/>
    </w:pPr>
  </w:style>
  <w:style w:type="paragraph" w:styleId="Textonotapie">
    <w:name w:val="footnote text"/>
    <w:basedOn w:val="Normal"/>
    <w:link w:val="TextonotapieCar"/>
    <w:semiHidden/>
    <w:unhideWhenUsed/>
    <w:rsid w:val="000B2885"/>
    <w:rPr>
      <w:sz w:val="20"/>
      <w:szCs w:val="20"/>
    </w:rPr>
  </w:style>
  <w:style w:type="character" w:customStyle="1" w:styleId="TextonotapieCar">
    <w:name w:val="Texto nota pie Car"/>
    <w:basedOn w:val="Fuentedeprrafopredeter"/>
    <w:link w:val="Textonotapie"/>
    <w:semiHidden/>
    <w:rsid w:val="000B2885"/>
  </w:style>
  <w:style w:type="character" w:styleId="Refdenotaalpie">
    <w:name w:val="footnote reference"/>
    <w:basedOn w:val="Fuentedeprrafopredeter"/>
    <w:semiHidden/>
    <w:unhideWhenUsed/>
    <w:rsid w:val="000B2885"/>
    <w:rPr>
      <w:vertAlign w:val="superscript"/>
    </w:rPr>
  </w:style>
  <w:style w:type="character" w:customStyle="1" w:styleId="PiedepginaCar">
    <w:name w:val="Pie de página Car"/>
    <w:basedOn w:val="Fuentedeprrafopredeter"/>
    <w:link w:val="Piedepgina"/>
    <w:uiPriority w:val="99"/>
    <w:rsid w:val="00467AA4"/>
    <w:rPr>
      <w:sz w:val="24"/>
      <w:szCs w:val="24"/>
    </w:rPr>
  </w:style>
  <w:style w:type="character" w:styleId="Textoennegrita">
    <w:name w:val="Strong"/>
    <w:basedOn w:val="Fuentedeprrafopredeter"/>
    <w:uiPriority w:val="22"/>
    <w:qFormat/>
    <w:rsid w:val="00231A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3C"/>
    <w:rPr>
      <w:sz w:val="24"/>
      <w:szCs w:val="24"/>
    </w:rPr>
  </w:style>
  <w:style w:type="paragraph" w:styleId="Ttulo2">
    <w:name w:val="heading 2"/>
    <w:basedOn w:val="Normal"/>
    <w:next w:val="Normal"/>
    <w:qFormat/>
    <w:rsid w:val="00C5743C"/>
    <w:pPr>
      <w:keepNext/>
      <w:outlineLvl w:val="1"/>
    </w:pPr>
    <w:rPr>
      <w:rFonts w:ascii="Arial" w:hAnsi="Arial"/>
      <w:b/>
      <w:sz w:val="14"/>
    </w:rPr>
  </w:style>
  <w:style w:type="paragraph" w:styleId="Ttulo4">
    <w:name w:val="heading 4"/>
    <w:basedOn w:val="Normal"/>
    <w:next w:val="Normal"/>
    <w:qFormat/>
    <w:rsid w:val="00C5743C"/>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C5743C"/>
    <w:pPr>
      <w:tabs>
        <w:tab w:val="center" w:pos="4819"/>
        <w:tab w:val="right" w:pos="9071"/>
      </w:tabs>
    </w:pPr>
  </w:style>
  <w:style w:type="paragraph" w:styleId="Encabezado">
    <w:name w:val="header"/>
    <w:basedOn w:val="Normal"/>
    <w:rsid w:val="00C5743C"/>
    <w:pPr>
      <w:tabs>
        <w:tab w:val="center" w:pos="4819"/>
        <w:tab w:val="right" w:pos="9071"/>
      </w:tabs>
    </w:pPr>
  </w:style>
  <w:style w:type="paragraph" w:styleId="Textoindependiente">
    <w:name w:val="Body Text"/>
    <w:basedOn w:val="Normal"/>
    <w:link w:val="TextoindependienteCar"/>
    <w:rsid w:val="000934E0"/>
    <w:rPr>
      <w:rFonts w:ascii="Arial" w:hAnsi="Arial" w:cs="Arial"/>
      <w:sz w:val="19"/>
      <w:szCs w:val="19"/>
    </w:rPr>
  </w:style>
  <w:style w:type="character" w:customStyle="1" w:styleId="TextoindependienteCar">
    <w:name w:val="Texto independiente Car"/>
    <w:link w:val="Textoindependiente"/>
    <w:rsid w:val="000934E0"/>
    <w:rPr>
      <w:rFonts w:ascii="Arial" w:hAnsi="Arial" w:cs="Arial"/>
      <w:sz w:val="19"/>
      <w:szCs w:val="19"/>
      <w:lang w:val="eu-ES" w:eastAsia="eu-ES"/>
    </w:rPr>
  </w:style>
  <w:style w:type="paragraph" w:styleId="Prrafodelista">
    <w:name w:val="List Paragraph"/>
    <w:basedOn w:val="Normal"/>
    <w:uiPriority w:val="34"/>
    <w:qFormat/>
    <w:rsid w:val="002F2942"/>
    <w:pPr>
      <w:ind w:left="720"/>
      <w:contextualSpacing/>
    </w:pPr>
  </w:style>
  <w:style w:type="paragraph" w:styleId="Textonotaalfinal">
    <w:name w:val="endnote text"/>
    <w:basedOn w:val="Normal"/>
    <w:link w:val="TextonotaalfinalCar"/>
    <w:rsid w:val="002F2942"/>
    <w:rPr>
      <w:sz w:val="20"/>
      <w:szCs w:val="20"/>
    </w:rPr>
  </w:style>
  <w:style w:type="character" w:customStyle="1" w:styleId="TextonotaalfinalCar">
    <w:name w:val="Texto nota al final Car"/>
    <w:basedOn w:val="Fuentedeprrafopredeter"/>
    <w:link w:val="Textonotaalfinal"/>
    <w:rsid w:val="002F2942"/>
  </w:style>
  <w:style w:type="character" w:styleId="Refdenotaalfinal">
    <w:name w:val="endnote reference"/>
    <w:rsid w:val="002F2942"/>
    <w:rPr>
      <w:vertAlign w:val="superscript"/>
    </w:rPr>
  </w:style>
  <w:style w:type="table" w:styleId="Tablaconcuadrcula">
    <w:name w:val="Table Grid"/>
    <w:basedOn w:val="Tablanormal"/>
    <w:rsid w:val="00DB0B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B0BC9"/>
    <w:pPr>
      <w:autoSpaceDE w:val="0"/>
      <w:autoSpaceDN w:val="0"/>
      <w:adjustRightInd w:val="0"/>
    </w:pPr>
    <w:rPr>
      <w:rFonts w:ascii="Arial" w:hAnsi="Arial" w:cs="Arial"/>
      <w:color w:val="000000"/>
      <w:sz w:val="24"/>
      <w:szCs w:val="24"/>
    </w:rPr>
  </w:style>
  <w:style w:type="paragraph" w:customStyle="1" w:styleId="parrafo1">
    <w:name w:val="parrafo1"/>
    <w:basedOn w:val="Normal"/>
    <w:rsid w:val="00523193"/>
    <w:pPr>
      <w:spacing w:before="180" w:after="180"/>
      <w:ind w:firstLine="360"/>
      <w:jc w:val="both"/>
    </w:pPr>
  </w:style>
  <w:style w:type="paragraph" w:customStyle="1" w:styleId="parrafo22">
    <w:name w:val="parrafo_22"/>
    <w:basedOn w:val="Normal"/>
    <w:rsid w:val="00523193"/>
    <w:pPr>
      <w:spacing w:before="360" w:after="180"/>
      <w:ind w:firstLine="360"/>
      <w:jc w:val="both"/>
    </w:pPr>
  </w:style>
  <w:style w:type="paragraph" w:styleId="Textonotapie">
    <w:name w:val="footnote text"/>
    <w:basedOn w:val="Normal"/>
    <w:link w:val="TextonotapieCar"/>
    <w:semiHidden/>
    <w:unhideWhenUsed/>
    <w:rsid w:val="000B2885"/>
    <w:rPr>
      <w:sz w:val="20"/>
      <w:szCs w:val="20"/>
    </w:rPr>
  </w:style>
  <w:style w:type="character" w:customStyle="1" w:styleId="TextonotapieCar">
    <w:name w:val="Texto nota pie Car"/>
    <w:basedOn w:val="Fuentedeprrafopredeter"/>
    <w:link w:val="Textonotapie"/>
    <w:semiHidden/>
    <w:rsid w:val="000B2885"/>
  </w:style>
  <w:style w:type="character" w:styleId="Refdenotaalpie">
    <w:name w:val="footnote reference"/>
    <w:basedOn w:val="Fuentedeprrafopredeter"/>
    <w:semiHidden/>
    <w:unhideWhenUsed/>
    <w:rsid w:val="000B2885"/>
    <w:rPr>
      <w:vertAlign w:val="superscript"/>
    </w:rPr>
  </w:style>
  <w:style w:type="character" w:customStyle="1" w:styleId="PiedepginaCar">
    <w:name w:val="Pie de página Car"/>
    <w:basedOn w:val="Fuentedeprrafopredeter"/>
    <w:link w:val="Piedepgina"/>
    <w:uiPriority w:val="99"/>
    <w:rsid w:val="00467AA4"/>
    <w:rPr>
      <w:sz w:val="24"/>
      <w:szCs w:val="24"/>
    </w:rPr>
  </w:style>
  <w:style w:type="character" w:styleId="Textoennegrita">
    <w:name w:val="Strong"/>
    <w:basedOn w:val="Fuentedeprrafopredeter"/>
    <w:uiPriority w:val="22"/>
    <w:qFormat/>
    <w:rsid w:val="00231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19743">
      <w:bodyDiv w:val="1"/>
      <w:marLeft w:val="0"/>
      <w:marRight w:val="0"/>
      <w:marTop w:val="0"/>
      <w:marBottom w:val="0"/>
      <w:divBdr>
        <w:top w:val="none" w:sz="0" w:space="0" w:color="auto"/>
        <w:left w:val="none" w:sz="0" w:space="0" w:color="auto"/>
        <w:bottom w:val="none" w:sz="0" w:space="0" w:color="auto"/>
        <w:right w:val="none" w:sz="0" w:space="0" w:color="auto"/>
      </w:divBdr>
    </w:div>
    <w:div w:id="859855241">
      <w:bodyDiv w:val="1"/>
      <w:marLeft w:val="0"/>
      <w:marRight w:val="0"/>
      <w:marTop w:val="0"/>
      <w:marBottom w:val="0"/>
      <w:divBdr>
        <w:top w:val="none" w:sz="0" w:space="0" w:color="auto"/>
        <w:left w:val="none" w:sz="0" w:space="0" w:color="auto"/>
        <w:bottom w:val="none" w:sz="0" w:space="0" w:color="auto"/>
        <w:right w:val="none" w:sz="0" w:space="0" w:color="auto"/>
      </w:divBdr>
      <w:divsChild>
        <w:div w:id="1257249537">
          <w:marLeft w:val="0"/>
          <w:marRight w:val="0"/>
          <w:marTop w:val="0"/>
          <w:marBottom w:val="0"/>
          <w:divBdr>
            <w:top w:val="none" w:sz="0" w:space="0" w:color="auto"/>
            <w:left w:val="none" w:sz="0" w:space="0" w:color="auto"/>
            <w:bottom w:val="none" w:sz="0" w:space="0" w:color="auto"/>
            <w:right w:val="none" w:sz="0" w:space="0" w:color="auto"/>
          </w:divBdr>
        </w:div>
        <w:div w:id="220360843">
          <w:marLeft w:val="0"/>
          <w:marRight w:val="0"/>
          <w:marTop w:val="0"/>
          <w:marBottom w:val="0"/>
          <w:divBdr>
            <w:top w:val="none" w:sz="0" w:space="0" w:color="auto"/>
            <w:left w:val="none" w:sz="0" w:space="0" w:color="auto"/>
            <w:bottom w:val="none" w:sz="0" w:space="0" w:color="auto"/>
            <w:right w:val="none" w:sz="0" w:space="0" w:color="auto"/>
          </w:divBdr>
        </w:div>
        <w:div w:id="859126660">
          <w:marLeft w:val="0"/>
          <w:marRight w:val="0"/>
          <w:marTop w:val="0"/>
          <w:marBottom w:val="0"/>
          <w:divBdr>
            <w:top w:val="none" w:sz="0" w:space="0" w:color="auto"/>
            <w:left w:val="none" w:sz="0" w:space="0" w:color="auto"/>
            <w:bottom w:val="none" w:sz="0" w:space="0" w:color="auto"/>
            <w:right w:val="none" w:sz="0" w:space="0" w:color="auto"/>
          </w:divBdr>
        </w:div>
        <w:div w:id="1291860017">
          <w:marLeft w:val="0"/>
          <w:marRight w:val="0"/>
          <w:marTop w:val="0"/>
          <w:marBottom w:val="0"/>
          <w:divBdr>
            <w:top w:val="none" w:sz="0" w:space="0" w:color="auto"/>
            <w:left w:val="none" w:sz="0" w:space="0" w:color="auto"/>
            <w:bottom w:val="none" w:sz="0" w:space="0" w:color="auto"/>
            <w:right w:val="none" w:sz="0" w:space="0" w:color="auto"/>
          </w:divBdr>
        </w:div>
        <w:div w:id="1327779924">
          <w:marLeft w:val="0"/>
          <w:marRight w:val="0"/>
          <w:marTop w:val="0"/>
          <w:marBottom w:val="0"/>
          <w:divBdr>
            <w:top w:val="none" w:sz="0" w:space="0" w:color="auto"/>
            <w:left w:val="none" w:sz="0" w:space="0" w:color="auto"/>
            <w:bottom w:val="none" w:sz="0" w:space="0" w:color="auto"/>
            <w:right w:val="none" w:sz="0" w:space="0" w:color="auto"/>
          </w:divBdr>
        </w:div>
        <w:div w:id="1120145610">
          <w:marLeft w:val="0"/>
          <w:marRight w:val="0"/>
          <w:marTop w:val="0"/>
          <w:marBottom w:val="0"/>
          <w:divBdr>
            <w:top w:val="none" w:sz="0" w:space="0" w:color="auto"/>
            <w:left w:val="none" w:sz="0" w:space="0" w:color="auto"/>
            <w:bottom w:val="none" w:sz="0" w:space="0" w:color="auto"/>
            <w:right w:val="none" w:sz="0" w:space="0" w:color="auto"/>
          </w:divBdr>
        </w:div>
      </w:divsChild>
    </w:div>
    <w:div w:id="896664434">
      <w:bodyDiv w:val="1"/>
      <w:marLeft w:val="0"/>
      <w:marRight w:val="0"/>
      <w:marTop w:val="0"/>
      <w:marBottom w:val="0"/>
      <w:divBdr>
        <w:top w:val="none" w:sz="0" w:space="0" w:color="auto"/>
        <w:left w:val="none" w:sz="0" w:space="0" w:color="auto"/>
        <w:bottom w:val="none" w:sz="0" w:space="0" w:color="auto"/>
        <w:right w:val="none" w:sz="0" w:space="0" w:color="auto"/>
      </w:divBdr>
      <w:divsChild>
        <w:div w:id="1125150602">
          <w:marLeft w:val="0"/>
          <w:marRight w:val="0"/>
          <w:marTop w:val="720"/>
          <w:marBottom w:val="720"/>
          <w:divBdr>
            <w:top w:val="none" w:sz="0" w:space="0" w:color="auto"/>
            <w:left w:val="none" w:sz="0" w:space="0" w:color="auto"/>
            <w:bottom w:val="none" w:sz="0" w:space="0" w:color="auto"/>
            <w:right w:val="none" w:sz="0" w:space="0" w:color="auto"/>
          </w:divBdr>
          <w:divsChild>
            <w:div w:id="307904224">
              <w:marLeft w:val="0"/>
              <w:marRight w:val="0"/>
              <w:marTop w:val="0"/>
              <w:marBottom w:val="0"/>
              <w:divBdr>
                <w:top w:val="none" w:sz="0" w:space="0" w:color="auto"/>
                <w:left w:val="none" w:sz="0" w:space="0" w:color="auto"/>
                <w:bottom w:val="none" w:sz="0" w:space="0" w:color="auto"/>
                <w:right w:val="none" w:sz="0" w:space="0" w:color="auto"/>
              </w:divBdr>
              <w:divsChild>
                <w:div w:id="127975204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mgutirod\AppData\Roaming\Microsoft\Plantillas\Plantilla%20Departamen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B344B-6C52-4098-8C45-66BC01B3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Departamento.dot</Template>
  <TotalTime>107</TotalTime>
  <Pages>3</Pages>
  <Words>532</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EJIE</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Gutiérrez Rodríguez, Marisol</dc:creator>
  <cp:lastModifiedBy>Hori-Hori</cp:lastModifiedBy>
  <cp:revision>6</cp:revision>
  <cp:lastPrinted>2017-12-20T12:16:00Z</cp:lastPrinted>
  <dcterms:created xsi:type="dcterms:W3CDTF">2018-01-29T09:35:00Z</dcterms:created>
  <dcterms:modified xsi:type="dcterms:W3CDTF">2018-02-19T13:07:00Z</dcterms:modified>
</cp:coreProperties>
</file>